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5" w:type="dxa"/>
        <w:shd w:val="clear" w:color="auto" w:fill="FFFFFF"/>
        <w:tblCellMar>
          <w:top w:w="150" w:type="dxa"/>
          <w:left w:w="150" w:type="dxa"/>
          <w:bottom w:w="150" w:type="dxa"/>
          <w:right w:w="150" w:type="dxa"/>
        </w:tblCellMar>
        <w:tblLook w:val="04A0"/>
      </w:tblPr>
      <w:tblGrid>
        <w:gridCol w:w="9790"/>
      </w:tblGrid>
      <w:tr w:rsidR="00BE01A4" w:rsidRPr="00BE01A4" w:rsidTr="00BE01A4">
        <w:trPr>
          <w:tblCellSpacing w:w="75" w:type="dxa"/>
          <w:jc w:val="center"/>
        </w:trPr>
        <w:tc>
          <w:tcPr>
            <w:tcW w:w="0" w:type="auto"/>
            <w:tcBorders>
              <w:top w:val="single" w:sz="2" w:space="0" w:color="A2B3BA"/>
              <w:left w:val="single" w:sz="2" w:space="0" w:color="A2B3BA"/>
              <w:bottom w:val="single" w:sz="2" w:space="0" w:color="A2B3BA"/>
              <w:right w:val="single" w:sz="2" w:space="0" w:color="A2B3BA"/>
            </w:tcBorders>
            <w:shd w:val="clear" w:color="auto" w:fill="FFFFFF"/>
            <w:tcMar>
              <w:top w:w="60" w:type="dxa"/>
              <w:left w:w="60" w:type="dxa"/>
              <w:bottom w:w="60" w:type="dxa"/>
              <w:right w:w="60" w:type="dxa"/>
            </w:tcMar>
            <w:vAlign w:val="center"/>
            <w:hideMark/>
          </w:tcPr>
          <w:p w:rsidR="00BE01A4" w:rsidRPr="00BE01A4" w:rsidRDefault="00BE01A4" w:rsidP="00BE01A4">
            <w:pPr>
              <w:spacing w:before="300" w:after="150" w:line="240" w:lineRule="auto"/>
              <w:jc w:val="both"/>
              <w:outlineLvl w:val="0"/>
              <w:rPr>
                <w:rFonts w:ascii="Arial" w:eastAsia="Times New Roman" w:hAnsi="Arial" w:cs="Arial"/>
                <w:b/>
                <w:color w:val="515151"/>
                <w:kern w:val="36"/>
                <w:sz w:val="20"/>
                <w:szCs w:val="20"/>
              </w:rPr>
            </w:pPr>
            <w:r w:rsidRPr="00BE01A4">
              <w:rPr>
                <w:rFonts w:ascii="Arial" w:eastAsia="Times New Roman" w:hAnsi="Arial" w:cs="Arial"/>
                <w:b/>
                <w:color w:val="515151"/>
                <w:kern w:val="36"/>
                <w:sz w:val="20"/>
                <w:szCs w:val="20"/>
              </w:rPr>
              <w:t>Warranty Summary</w:t>
            </w:r>
          </w:p>
          <w:p w:rsidR="00BE01A4" w:rsidRPr="00BE01A4" w:rsidRDefault="00BE01A4" w:rsidP="00BE01A4">
            <w:pPr>
              <w:numPr>
                <w:ilvl w:val="0"/>
                <w:numId w:val="1"/>
              </w:numPr>
              <w:spacing w:before="100" w:beforeAutospacing="1" w:after="260" w:line="240" w:lineRule="auto"/>
              <w:ind w:left="300"/>
              <w:jc w:val="both"/>
              <w:rPr>
                <w:rFonts w:ascii="Arial" w:eastAsia="Times New Roman" w:hAnsi="Arial" w:cs="Arial"/>
                <w:color w:val="515151"/>
                <w:sz w:val="20"/>
                <w:szCs w:val="20"/>
              </w:rPr>
            </w:pPr>
            <w:r w:rsidRPr="00BE01A4">
              <w:rPr>
                <w:rFonts w:ascii="Arial" w:eastAsia="Times New Roman" w:hAnsi="Arial" w:cs="Arial"/>
                <w:b/>
                <w:bCs/>
                <w:color w:val="515151"/>
                <w:sz w:val="20"/>
                <w:szCs w:val="20"/>
              </w:rPr>
              <w:t>Two Post and Four Post Vehicle Lifts </w:t>
            </w:r>
            <w:r w:rsidRPr="00BE01A4">
              <w:rPr>
                <w:rFonts w:ascii="Arial" w:eastAsia="Times New Roman" w:hAnsi="Arial" w:cs="Arial"/>
                <w:color w:val="515151"/>
                <w:sz w:val="20"/>
                <w:szCs w:val="20"/>
              </w:rPr>
              <w:t>weight capacity models 7,000 lbs. through 14,000 lbs. are warranted for (5) years on structural components and (1) year on hydraulic power units and cylinders from invoice date.</w:t>
            </w:r>
          </w:p>
          <w:p w:rsidR="00BE01A4" w:rsidRPr="00BE01A4" w:rsidRDefault="00BE01A4" w:rsidP="00BE01A4">
            <w:pPr>
              <w:numPr>
                <w:ilvl w:val="0"/>
                <w:numId w:val="1"/>
              </w:numPr>
              <w:spacing w:before="100" w:beforeAutospacing="1" w:after="260" w:line="240" w:lineRule="auto"/>
              <w:ind w:left="300"/>
              <w:jc w:val="both"/>
              <w:rPr>
                <w:rFonts w:ascii="Arial" w:eastAsia="Times New Roman" w:hAnsi="Arial" w:cs="Arial"/>
                <w:color w:val="515151"/>
                <w:sz w:val="20"/>
                <w:szCs w:val="20"/>
              </w:rPr>
            </w:pPr>
            <w:r w:rsidRPr="00BE01A4">
              <w:rPr>
                <w:rFonts w:ascii="Arial" w:eastAsia="Times New Roman" w:hAnsi="Arial" w:cs="Arial"/>
                <w:b/>
                <w:bCs/>
                <w:color w:val="515151"/>
                <w:sz w:val="20"/>
                <w:szCs w:val="20"/>
              </w:rPr>
              <w:t>Low Rise and Mid Rise Lifts </w:t>
            </w:r>
            <w:r w:rsidRPr="00BE01A4">
              <w:rPr>
                <w:rFonts w:ascii="Arial" w:eastAsia="Times New Roman" w:hAnsi="Arial" w:cs="Arial"/>
                <w:color w:val="515151"/>
                <w:sz w:val="20"/>
                <w:szCs w:val="20"/>
              </w:rPr>
              <w:t>weight capacity models 6,000lb are warranted for (1) year on structural components and (1) year on hydraulic power units and cylinders from invoice date.</w:t>
            </w:r>
          </w:p>
          <w:p w:rsidR="00BE01A4" w:rsidRPr="00BE01A4" w:rsidRDefault="00BE01A4" w:rsidP="00BE01A4">
            <w:pPr>
              <w:numPr>
                <w:ilvl w:val="0"/>
                <w:numId w:val="1"/>
              </w:numPr>
              <w:spacing w:before="100" w:beforeAutospacing="1" w:after="260" w:line="240" w:lineRule="auto"/>
              <w:ind w:left="300"/>
              <w:jc w:val="both"/>
              <w:rPr>
                <w:rFonts w:ascii="Arial" w:eastAsia="Times New Roman" w:hAnsi="Arial" w:cs="Arial"/>
                <w:color w:val="515151"/>
                <w:sz w:val="20"/>
                <w:szCs w:val="20"/>
              </w:rPr>
            </w:pPr>
            <w:r w:rsidRPr="00BE01A4">
              <w:rPr>
                <w:rFonts w:ascii="Arial" w:eastAsia="Times New Roman" w:hAnsi="Arial" w:cs="Arial"/>
                <w:b/>
                <w:bCs/>
                <w:color w:val="515151"/>
                <w:sz w:val="20"/>
                <w:szCs w:val="20"/>
              </w:rPr>
              <w:t>Rotisserie units, Motorcycle Lifts, Jacks, Lift Accessories, Jack Stands and Lift Kits, etc. </w:t>
            </w:r>
            <w:r w:rsidRPr="00BE01A4">
              <w:rPr>
                <w:rFonts w:ascii="Arial" w:eastAsia="Times New Roman" w:hAnsi="Arial" w:cs="Arial"/>
                <w:color w:val="515151"/>
                <w:sz w:val="20"/>
                <w:szCs w:val="20"/>
              </w:rPr>
              <w:t>are warranted for (1) year on structural components and (1) year on air / hydraulic power units and pneumatic cylinders from invoice date.</w:t>
            </w:r>
          </w:p>
          <w:p w:rsidR="00BE01A4" w:rsidRPr="00BE01A4" w:rsidRDefault="00BE01A4" w:rsidP="00BE01A4">
            <w:pPr>
              <w:spacing w:after="0" w:line="240" w:lineRule="auto"/>
              <w:jc w:val="both"/>
              <w:rPr>
                <w:rFonts w:ascii="Arial" w:eastAsia="Times New Roman" w:hAnsi="Arial" w:cs="Arial"/>
                <w:color w:val="515151"/>
                <w:sz w:val="20"/>
                <w:szCs w:val="20"/>
              </w:rPr>
            </w:pPr>
            <w:r w:rsidRPr="00BE01A4">
              <w:rPr>
                <w:rFonts w:ascii="Arial" w:eastAsia="Times New Roman" w:hAnsi="Arial" w:cs="Arial"/>
                <w:b/>
                <w:bCs/>
                <w:i/>
                <w:iCs/>
                <w:color w:val="515151"/>
                <w:sz w:val="20"/>
                <w:szCs w:val="20"/>
              </w:rPr>
              <w:t>NOTE: ALL WARRANTY CLAIMS MUST BE PRE-APPROVED BY THE MANUFACTURER TO BE VALID.</w:t>
            </w:r>
          </w:p>
          <w:p w:rsidR="00BE01A4" w:rsidRPr="00BE01A4" w:rsidRDefault="00BE01A4" w:rsidP="00BE01A4">
            <w:pPr>
              <w:spacing w:after="0" w:line="240" w:lineRule="auto"/>
              <w:jc w:val="both"/>
              <w:rPr>
                <w:rFonts w:ascii="Arial" w:eastAsia="Times New Roman" w:hAnsi="Arial" w:cs="Arial"/>
                <w:color w:val="515151"/>
                <w:sz w:val="20"/>
                <w:szCs w:val="20"/>
              </w:rPr>
            </w:pPr>
            <w:r w:rsidRPr="00BE01A4">
              <w:rPr>
                <w:rFonts w:ascii="Arial" w:eastAsia="Times New Roman" w:hAnsi="Arial" w:cs="Arial"/>
                <w:color w:val="515151"/>
                <w:sz w:val="20"/>
                <w:szCs w:val="20"/>
              </w:rPr>
              <w:br/>
            </w:r>
            <w:r w:rsidRPr="00BE01A4">
              <w:rPr>
                <w:rFonts w:ascii="Arial" w:eastAsia="Times New Roman" w:hAnsi="Arial" w:cs="Arial"/>
                <w:b/>
                <w:bCs/>
                <w:color w:val="515151"/>
                <w:sz w:val="20"/>
                <w:szCs w:val="20"/>
              </w:rPr>
              <w:t>Complete Warranty and Legal Terms</w:t>
            </w:r>
          </w:p>
        </w:tc>
      </w:tr>
      <w:tr w:rsidR="00BE01A4" w:rsidRPr="00BE01A4" w:rsidTr="00BE01A4">
        <w:trPr>
          <w:tblCellSpacing w:w="75" w:type="dxa"/>
          <w:jc w:val="center"/>
        </w:trPr>
        <w:tc>
          <w:tcPr>
            <w:tcW w:w="0" w:type="auto"/>
            <w:tcBorders>
              <w:top w:val="single" w:sz="2" w:space="0" w:color="A2B3BA"/>
              <w:left w:val="single" w:sz="2" w:space="0" w:color="A2B3BA"/>
              <w:bottom w:val="single" w:sz="2" w:space="0" w:color="A2B3BA"/>
              <w:right w:val="single" w:sz="2" w:space="0" w:color="A2B3BA"/>
            </w:tcBorders>
            <w:shd w:val="clear" w:color="auto" w:fill="FFFFFF"/>
            <w:tcMar>
              <w:top w:w="60" w:type="dxa"/>
              <w:left w:w="60" w:type="dxa"/>
              <w:bottom w:w="60" w:type="dxa"/>
              <w:right w:w="60" w:type="dxa"/>
            </w:tcMar>
            <w:vAlign w:val="center"/>
            <w:hideMark/>
          </w:tcPr>
          <w:p w:rsidR="00BE01A4" w:rsidRPr="00BE01A4" w:rsidRDefault="00BE01A4" w:rsidP="00BE01A4">
            <w:pPr>
              <w:spacing w:after="0" w:line="240" w:lineRule="auto"/>
              <w:jc w:val="both"/>
              <w:rPr>
                <w:rFonts w:ascii="Arial" w:eastAsia="Times New Roman" w:hAnsi="Arial" w:cs="Arial"/>
                <w:color w:val="515151"/>
                <w:sz w:val="20"/>
                <w:szCs w:val="20"/>
              </w:rPr>
            </w:pPr>
            <w:r w:rsidRPr="00BE01A4">
              <w:rPr>
                <w:rFonts w:ascii="Arial" w:eastAsia="Times New Roman" w:hAnsi="Arial" w:cs="Arial"/>
                <w:color w:val="515151"/>
                <w:sz w:val="20"/>
                <w:szCs w:val="20"/>
              </w:rPr>
              <w:t>All Direct Lift products are warranted to the original owner only. Direct Lift two and four post lifts are warranted for 5 years from invoice date on structural components (columns, arms, runways, and carriages) to be free of defects in material and workmanship. Non-structure items (cylinder, power unit and parts) are warranted for 1 year from invoice date. All other lifts and accessories are warranted for 1 year from invoice date on structural components, hydraulic power units, and cylinders. Direct Lift shall replace those parts returned to the factory which prove upon inspection by Direct Lift to be defective. Direct Lift shall pay for reasonable costs of ground transportation of said parts only and no labor for replacement of said parts. Registration of the lift is required to receive the warranty coverage. This warranty shall not apply unless the product is installed, operated, used and maintained in accordance with Direct Lift’s specifications set forth in the installation, operation and maintenance instructions. This warranty is exclusive and all other expressed or implied warranties including merchantability or fitness for a particular purpose are hereby expressly excluded. The remedies described are exclusive and in no event shall Direct Lift or any sales agent be liable for any special, consequential or incidental damages of any kind including damages for breach of or delay in performance of the warranty. This warranty shall be governed under the laws of the State of Indiana, and shall be subject to the exclusive jurisdiction of the Court in the State of Indiana in the County of Jefferson. This warranty does not apply to the following:</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Normal wear and tear items such as cables, sheaves, sliders, plastic and rubber components.</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Normal maintenance and adjustments as required by the owner’s manual.</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Failure to follow installation and operation instructions or user neglect or abuse.</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Damage caused by corrosion of any kind.</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Damage to components incurred during transportation or unloading.</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Damage caused by improper lifting or overloading.</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Any lift that has been altered from the original design or improperly repaired.</w:t>
            </w:r>
          </w:p>
          <w:p w:rsidR="00BE01A4" w:rsidRPr="00BE01A4" w:rsidRDefault="00BE01A4" w:rsidP="00BE01A4">
            <w:pPr>
              <w:numPr>
                <w:ilvl w:val="0"/>
                <w:numId w:val="2"/>
              </w:numPr>
              <w:spacing w:before="100" w:beforeAutospacing="1" w:after="100" w:afterAutospacing="1" w:line="240" w:lineRule="auto"/>
              <w:ind w:left="300"/>
              <w:jc w:val="both"/>
              <w:rPr>
                <w:rFonts w:ascii="Arial" w:eastAsia="Times New Roman" w:hAnsi="Arial" w:cs="Arial"/>
                <w:color w:val="515151"/>
                <w:sz w:val="20"/>
                <w:szCs w:val="20"/>
              </w:rPr>
            </w:pPr>
            <w:r w:rsidRPr="00BE01A4">
              <w:rPr>
                <w:rFonts w:ascii="Arial" w:eastAsia="Times New Roman" w:hAnsi="Arial" w:cs="Arial"/>
                <w:color w:val="515151"/>
                <w:sz w:val="20"/>
                <w:szCs w:val="20"/>
              </w:rPr>
              <w:t>Cosmetic defects or blemishes that do not interfere with functionality of the lift.</w:t>
            </w:r>
          </w:p>
          <w:p w:rsidR="00BE01A4" w:rsidRPr="00BE01A4" w:rsidRDefault="00BE01A4" w:rsidP="00BE01A4">
            <w:pPr>
              <w:spacing w:after="0" w:line="240" w:lineRule="auto"/>
              <w:jc w:val="both"/>
              <w:rPr>
                <w:rFonts w:ascii="Arial" w:eastAsia="Times New Roman" w:hAnsi="Arial" w:cs="Arial"/>
                <w:color w:val="515151"/>
                <w:sz w:val="20"/>
                <w:szCs w:val="20"/>
              </w:rPr>
            </w:pPr>
            <w:r w:rsidRPr="00BE01A4">
              <w:rPr>
                <w:rFonts w:ascii="Arial" w:eastAsia="Times New Roman" w:hAnsi="Arial" w:cs="Arial"/>
                <w:color w:val="515151"/>
                <w:sz w:val="20"/>
                <w:szCs w:val="20"/>
              </w:rPr>
              <w:br/>
              <w:t>Specifications subject to change without notice or liability.</w:t>
            </w:r>
          </w:p>
        </w:tc>
      </w:tr>
    </w:tbl>
    <w:p w:rsidR="001E3C61" w:rsidRPr="00BE01A4" w:rsidRDefault="001E3C61">
      <w:pPr>
        <w:rPr>
          <w:rFonts w:ascii="Arial" w:hAnsi="Arial" w:cs="Arial"/>
        </w:rPr>
      </w:pPr>
    </w:p>
    <w:sectPr w:rsidR="001E3C61" w:rsidRPr="00BE01A4" w:rsidSect="001E3C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6256"/>
    <w:multiLevelType w:val="multilevel"/>
    <w:tmpl w:val="8F6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083DA7"/>
    <w:multiLevelType w:val="multilevel"/>
    <w:tmpl w:val="EFB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01A4"/>
    <w:rsid w:val="001E3C61"/>
    <w:rsid w:val="00BE0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61"/>
  </w:style>
  <w:style w:type="paragraph" w:styleId="Heading1">
    <w:name w:val="heading 1"/>
    <w:basedOn w:val="Normal"/>
    <w:link w:val="Heading1Char"/>
    <w:uiPriority w:val="9"/>
    <w:qFormat/>
    <w:rsid w:val="00BE0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1A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E01A4"/>
    <w:rPr>
      <w:b/>
      <w:bCs/>
    </w:rPr>
  </w:style>
  <w:style w:type="character" w:customStyle="1" w:styleId="apple-converted-space">
    <w:name w:val="apple-converted-space"/>
    <w:basedOn w:val="DefaultParagraphFont"/>
    <w:rsid w:val="00BE01A4"/>
  </w:style>
  <w:style w:type="paragraph" w:styleId="NormalWeb">
    <w:name w:val="Normal (Web)"/>
    <w:basedOn w:val="Normal"/>
    <w:uiPriority w:val="99"/>
    <w:unhideWhenUsed/>
    <w:rsid w:val="00BE0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9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2610</Characters>
  <Application>Microsoft Office Word</Application>
  <DocSecurity>0</DocSecurity>
  <Lines>21</Lines>
  <Paragraphs>6</Paragraphs>
  <ScaleCrop>false</ScaleCrop>
  <Company>Microsoft Corporation</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cp:revision>
  <dcterms:created xsi:type="dcterms:W3CDTF">2016-07-11T15:21:00Z</dcterms:created>
  <dcterms:modified xsi:type="dcterms:W3CDTF">2016-07-11T15:23:00Z</dcterms:modified>
</cp:coreProperties>
</file>